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2C07" w14:textId="77777777" w:rsidR="003F45D2" w:rsidRPr="00364CCC" w:rsidRDefault="003F45D2" w:rsidP="00491264">
      <w:pPr>
        <w:pStyle w:val="Title"/>
        <w:jc w:val="left"/>
      </w:pPr>
    </w:p>
    <w:p w14:paraId="4A32F717" w14:textId="77777777" w:rsidR="00DA697C" w:rsidRDefault="00DA697C" w:rsidP="00700A34">
      <w:pPr>
        <w:pStyle w:val="Title"/>
        <w:spacing w:before="240"/>
        <w:rPr>
          <w:sz w:val="32"/>
          <w:szCs w:val="32"/>
        </w:rPr>
      </w:pPr>
    </w:p>
    <w:p w14:paraId="5F12BFE2" w14:textId="77777777" w:rsidR="00700A34" w:rsidRDefault="00700A34" w:rsidP="00700A34">
      <w:pPr>
        <w:jc w:val="center"/>
      </w:pPr>
      <w:r>
        <w:rPr>
          <w:noProof/>
        </w:rPr>
        <w:drawing>
          <wp:inline distT="0" distB="0" distL="0" distR="0" wp14:anchorId="7DEC2AE9" wp14:editId="683729FF">
            <wp:extent cx="2933065" cy="802005"/>
            <wp:effectExtent l="0" t="0" r="635" b="0"/>
            <wp:docPr id="1" name="Picture 1" descr="cid:image001.jpg@01D1486B.B5CBD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486B.B5CBD4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FDEA" w14:textId="025A58F1" w:rsidR="003059C2" w:rsidRPr="00700A34" w:rsidRDefault="00BE08A6" w:rsidP="00700A34">
      <w:pPr>
        <w:pStyle w:val="Title"/>
        <w:spacing w:before="240"/>
        <w:rPr>
          <w:sz w:val="24"/>
          <w:szCs w:val="24"/>
        </w:rPr>
      </w:pPr>
      <w:r>
        <w:t>Basis Statement</w:t>
      </w:r>
      <w:r w:rsidR="007C5BE7">
        <w:t xml:space="preserve"> and Summary of Changes</w:t>
      </w:r>
      <w:r w:rsidR="00370545" w:rsidRPr="00364CCC">
        <w:br/>
      </w:r>
    </w:p>
    <w:p w14:paraId="0C72F865" w14:textId="77777777" w:rsidR="001B0EAF" w:rsidRDefault="00370545" w:rsidP="001B0EAF">
      <w:pPr>
        <w:pStyle w:val="Title"/>
        <w:spacing w:before="240"/>
      </w:pPr>
      <w:r w:rsidRPr="00364CCC">
        <w:t xml:space="preserve">Chapter </w:t>
      </w:r>
      <w:r w:rsidR="001D5036">
        <w:t>1</w:t>
      </w:r>
      <w:r w:rsidR="001E2525">
        <w:t>0</w:t>
      </w:r>
      <w:r w:rsidR="00F22FC5">
        <w:t>0</w:t>
      </w:r>
      <w:r w:rsidRPr="00364CCC">
        <w:t xml:space="preserve">:  </w:t>
      </w:r>
      <w:r w:rsidR="00F22FC5">
        <w:t>Enforcement Procedures</w:t>
      </w:r>
      <w:r w:rsidR="00932DBD">
        <w:t xml:space="preserve"> </w:t>
      </w:r>
      <w:r w:rsidR="00473801" w:rsidRPr="00491264">
        <w:rPr>
          <w:i/>
          <w:sz w:val="20"/>
          <w:szCs w:val="20"/>
        </w:rPr>
        <w:t>(</w:t>
      </w:r>
      <w:r w:rsidR="00F22FC5">
        <w:rPr>
          <w:i/>
          <w:sz w:val="20"/>
          <w:szCs w:val="20"/>
        </w:rPr>
        <w:t>Major Substantive</w:t>
      </w:r>
      <w:r w:rsidR="00473801" w:rsidRPr="00491264">
        <w:rPr>
          <w:i/>
          <w:sz w:val="20"/>
          <w:szCs w:val="20"/>
        </w:rPr>
        <w:t>)</w:t>
      </w:r>
      <w:r w:rsidR="00700A34">
        <w:t xml:space="preserve"> </w:t>
      </w:r>
    </w:p>
    <w:p w14:paraId="6F2C3F5F" w14:textId="4DAD4D15" w:rsidR="0027472D" w:rsidRPr="00700A34" w:rsidRDefault="0027472D" w:rsidP="001B0EAF">
      <w:pPr>
        <w:pStyle w:val="Title"/>
        <w:spacing w:before="240"/>
      </w:pPr>
      <w:r w:rsidRPr="004A3191">
        <w:rPr>
          <w:rFonts w:asciiTheme="minorHAnsi" w:hAnsiTheme="minorHAnsi"/>
          <w:b w:val="0"/>
          <w:i/>
          <w:iCs/>
          <w:sz w:val="24"/>
          <w:szCs w:val="24"/>
        </w:rPr>
        <w:t>This rule requires legislative approval prior to final adoption</w:t>
      </w:r>
      <w:r w:rsidRPr="004A3191">
        <w:rPr>
          <w:rFonts w:asciiTheme="minorHAnsi" w:hAnsiTheme="minorHAnsi"/>
          <w:b w:val="0"/>
          <w:sz w:val="24"/>
          <w:szCs w:val="24"/>
        </w:rPr>
        <w:t>.</w:t>
      </w:r>
    </w:p>
    <w:p w14:paraId="612B0DB4" w14:textId="352439E2" w:rsidR="009E48A4" w:rsidRDefault="00410168" w:rsidP="00F43658">
      <w:pPr>
        <w:pStyle w:val="DefaultText"/>
      </w:pPr>
      <w:r w:rsidRPr="00410168">
        <w:t>Chapter</w:t>
      </w:r>
      <w:r w:rsidR="00CD112D">
        <w:t xml:space="preserve"> 100 </w:t>
      </w:r>
      <w:r w:rsidRPr="00410168">
        <w:t>establishes a schedule of fines and other enforcement actions for failure to file clinical, quality, financial, restructuring, health care claims and prescription drug price data; failure to pay the annual assessment; and for intentional or knowing failure to protect the disclosure of confidential or privileged data.</w:t>
      </w:r>
    </w:p>
    <w:p w14:paraId="2ED92210" w14:textId="7EA9255E" w:rsidR="00485667" w:rsidRPr="00485667" w:rsidRDefault="00330474" w:rsidP="00485667">
      <w:pPr>
        <w:pStyle w:val="DefaultText"/>
      </w:pPr>
      <w:r>
        <w:t>The proposed changes summarized below (except</w:t>
      </w:r>
      <w:r w:rsidR="0037477F">
        <w:t xml:space="preserve"> for </w:t>
      </w:r>
      <w:r w:rsidR="009F496D">
        <w:t>updates to two definitions in Section 2</w:t>
      </w:r>
      <w:r>
        <w:t xml:space="preserve">) are a result of the new requirements </w:t>
      </w:r>
      <w:r w:rsidR="00A96035">
        <w:t xml:space="preserve">in 24-A M.R.S. </w:t>
      </w:r>
      <w:r w:rsidR="00A96035" w:rsidRPr="009E48A4">
        <w:t>§</w:t>
      </w:r>
      <w:r w:rsidR="00A96035">
        <w:t>6951, including those in</w:t>
      </w:r>
      <w:r w:rsidRPr="009F496D">
        <w:t xml:space="preserve"> </w:t>
      </w:r>
      <w:r w:rsidR="00485667" w:rsidRPr="009F496D">
        <w:t>PL 2021, c603, “An Act Regarding Reporting on Spending for Behavioral Health Care Services and To Clarify Requirements for Credentialing by Health Insurance Carriers”</w:t>
      </w:r>
      <w:r w:rsidR="009F496D" w:rsidRPr="009F496D">
        <w:t>.</w:t>
      </w:r>
    </w:p>
    <w:p w14:paraId="46FF51F2" w14:textId="013A0835" w:rsidR="0089720E" w:rsidRDefault="000355F3" w:rsidP="0089720E">
      <w:pPr>
        <w:rPr>
          <w:sz w:val="24"/>
          <w:szCs w:val="24"/>
        </w:rPr>
      </w:pPr>
      <w:r w:rsidRPr="00BF0F7E">
        <w:rPr>
          <w:sz w:val="24"/>
          <w:szCs w:val="24"/>
        </w:rPr>
        <w:t xml:space="preserve">The MHDO Board met on </w:t>
      </w:r>
      <w:r w:rsidR="00DA2BFE" w:rsidRPr="00BF0F7E">
        <w:rPr>
          <w:sz w:val="24"/>
          <w:szCs w:val="24"/>
        </w:rPr>
        <w:t>April 7, 2022</w:t>
      </w:r>
      <w:r w:rsidR="00BF0F7E">
        <w:rPr>
          <w:sz w:val="24"/>
          <w:szCs w:val="24"/>
        </w:rPr>
        <w:t>,</w:t>
      </w:r>
      <w:r w:rsidRPr="00BF0F7E">
        <w:rPr>
          <w:sz w:val="24"/>
          <w:szCs w:val="24"/>
        </w:rPr>
        <w:t xml:space="preserve"> and authorized the MHDO to initiate rulemaking to Chapter </w:t>
      </w:r>
      <w:r w:rsidR="00C075C5" w:rsidRPr="00BF0F7E">
        <w:rPr>
          <w:sz w:val="24"/>
          <w:szCs w:val="24"/>
        </w:rPr>
        <w:t>1</w:t>
      </w:r>
      <w:r w:rsidR="001E2525" w:rsidRPr="00BF0F7E">
        <w:rPr>
          <w:sz w:val="24"/>
          <w:szCs w:val="24"/>
        </w:rPr>
        <w:t>0</w:t>
      </w:r>
      <w:r w:rsidR="00410168" w:rsidRPr="00BF0F7E">
        <w:rPr>
          <w:sz w:val="24"/>
          <w:szCs w:val="24"/>
        </w:rPr>
        <w:t>0</w:t>
      </w:r>
      <w:r w:rsidR="00127012" w:rsidRPr="00BF0F7E">
        <w:rPr>
          <w:sz w:val="24"/>
          <w:szCs w:val="24"/>
        </w:rPr>
        <w:t xml:space="preserve">, as required under </w:t>
      </w:r>
      <w:r w:rsidR="006B213E" w:rsidRPr="00BF0F7E">
        <w:rPr>
          <w:sz w:val="24"/>
          <w:szCs w:val="24"/>
        </w:rPr>
        <w:t>22 M</w:t>
      </w:r>
      <w:r w:rsidR="00E74A72" w:rsidRPr="00BF0F7E">
        <w:rPr>
          <w:sz w:val="24"/>
          <w:szCs w:val="24"/>
        </w:rPr>
        <w:t>.R.S.</w:t>
      </w:r>
      <w:r w:rsidR="006B213E" w:rsidRPr="00BF0F7E">
        <w:rPr>
          <w:sz w:val="24"/>
          <w:szCs w:val="24"/>
        </w:rPr>
        <w:t xml:space="preserve"> §8705-</w:t>
      </w:r>
      <w:r w:rsidR="00330474" w:rsidRPr="00BF0F7E">
        <w:rPr>
          <w:sz w:val="24"/>
          <w:szCs w:val="24"/>
        </w:rPr>
        <w:t>A.</w:t>
      </w:r>
      <w:r w:rsidR="00700A34">
        <w:t xml:space="preserve"> </w:t>
      </w:r>
      <w:r w:rsidR="0089720E">
        <w:rPr>
          <w:sz w:val="24"/>
          <w:szCs w:val="24"/>
        </w:rPr>
        <w:t xml:space="preserve">The proposed rule was publicly noticed on </w:t>
      </w:r>
      <w:r w:rsidR="00BF0F7E">
        <w:rPr>
          <w:sz w:val="24"/>
          <w:szCs w:val="24"/>
        </w:rPr>
        <w:t>September 14, 2022,</w:t>
      </w:r>
      <w:r w:rsidR="0089720E">
        <w:rPr>
          <w:sz w:val="24"/>
          <w:szCs w:val="24"/>
        </w:rPr>
        <w:t xml:space="preserve"> and a public hearing was held on </w:t>
      </w:r>
      <w:r w:rsidR="00BF0F7E">
        <w:rPr>
          <w:sz w:val="24"/>
          <w:szCs w:val="24"/>
        </w:rPr>
        <w:t>October 6, 2022</w:t>
      </w:r>
      <w:r w:rsidR="0089720E">
        <w:rPr>
          <w:sz w:val="24"/>
          <w:szCs w:val="24"/>
        </w:rPr>
        <w:t xml:space="preserve">. No public comments were received at the public hearing or by the 10-day comment period deadline of </w:t>
      </w:r>
      <w:r w:rsidR="00BF0F7E">
        <w:rPr>
          <w:sz w:val="24"/>
          <w:szCs w:val="24"/>
        </w:rPr>
        <w:t>October 17, 2022</w:t>
      </w:r>
      <w:r w:rsidR="0089720E">
        <w:rPr>
          <w:sz w:val="24"/>
          <w:szCs w:val="24"/>
        </w:rPr>
        <w:t xml:space="preserve">. The Board provisionally adopted the major substantive rule on December </w:t>
      </w:r>
      <w:r w:rsidR="00746CF5">
        <w:rPr>
          <w:sz w:val="24"/>
          <w:szCs w:val="24"/>
        </w:rPr>
        <w:t>1</w:t>
      </w:r>
      <w:r w:rsidR="0089720E">
        <w:rPr>
          <w:sz w:val="24"/>
          <w:szCs w:val="24"/>
        </w:rPr>
        <w:t>, 20</w:t>
      </w:r>
      <w:r w:rsidR="00746CF5">
        <w:rPr>
          <w:sz w:val="24"/>
          <w:szCs w:val="24"/>
        </w:rPr>
        <w:t>22</w:t>
      </w:r>
      <w:r w:rsidR="0089720E">
        <w:rPr>
          <w:sz w:val="24"/>
          <w:szCs w:val="24"/>
        </w:rPr>
        <w:t>. Subsequently, the Board submitted the provisionally adopted rule to the Maine State Legislature for its review, in accordance with 5 MRS Sec. 8072.</w:t>
      </w:r>
    </w:p>
    <w:p w14:paraId="4BF78283" w14:textId="0A1204F4" w:rsidR="0089720E" w:rsidRPr="009A46CF" w:rsidRDefault="003B174A" w:rsidP="0089720E">
      <w:pPr>
        <w:rPr>
          <w:sz w:val="24"/>
          <w:szCs w:val="24"/>
        </w:rPr>
      </w:pPr>
      <w:r w:rsidRPr="000F07AF">
        <w:rPr>
          <w:sz w:val="24"/>
        </w:rPr>
        <w:t xml:space="preserve">Since the Legislature failed to act on this rule authorizing adoption or disapproving adoption of the rule during the legislative review session, </w:t>
      </w:r>
      <w:r w:rsidR="000B4A30" w:rsidRPr="000F07AF">
        <w:rPr>
          <w:sz w:val="24"/>
        </w:rPr>
        <w:t>the MHDO Board had 60 days from the Legislature adjournment date (July 26, 2023) to finally adopt the rule.  O</w:t>
      </w:r>
      <w:r w:rsidRPr="000F07AF">
        <w:rPr>
          <w:sz w:val="24"/>
        </w:rPr>
        <w:t>n September 7, 2023</w:t>
      </w:r>
      <w:r w:rsidR="0089720E" w:rsidRPr="000F07AF">
        <w:rPr>
          <w:sz w:val="24"/>
        </w:rPr>
        <w:t>, the Board finally adopted this rule, which makes the following changes:</w:t>
      </w:r>
    </w:p>
    <w:p w14:paraId="0EC1155F" w14:textId="77777777" w:rsidR="002332C1" w:rsidRDefault="002332C1" w:rsidP="00F22FC5">
      <w:pPr>
        <w:pStyle w:val="DefaultText"/>
        <w:rPr>
          <w:b/>
          <w:bCs/>
        </w:rPr>
      </w:pPr>
    </w:p>
    <w:p w14:paraId="7DE8DB47" w14:textId="4EC5A112" w:rsidR="003059C2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lastRenderedPageBreak/>
        <w:t>Section 2. Definitions (page 2)</w:t>
      </w:r>
    </w:p>
    <w:p w14:paraId="0836EEC2" w14:textId="77777777" w:rsidR="003059C2" w:rsidRDefault="009F496D" w:rsidP="00F22FC5">
      <w:pPr>
        <w:pStyle w:val="DefaultText"/>
        <w:rPr>
          <w:b/>
          <w:bCs/>
        </w:rPr>
      </w:pPr>
      <w:r>
        <w:t>Revised definitions for manufacturer and wholesale drug distributor to align with definitions in 22 MRS Chapter 1683 and 90-590 C.M.R. Chapter 570, Uniform Reporting System for Prescription Drug Price Data Sets.</w:t>
      </w:r>
    </w:p>
    <w:p w14:paraId="5DA0E0DC" w14:textId="206CC7BA" w:rsidR="009F496D" w:rsidRPr="003059C2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>Rationale:</w:t>
      </w:r>
      <w:r>
        <w:t xml:space="preserve">  Uniformity in definitions across various agency rules.</w:t>
      </w:r>
    </w:p>
    <w:p w14:paraId="05D11627" w14:textId="21F49148" w:rsidR="00DA2BFE" w:rsidRPr="009F496D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 xml:space="preserve">Section 3. </w:t>
      </w:r>
      <w:r w:rsidR="00485667" w:rsidRPr="009F496D">
        <w:rPr>
          <w:b/>
          <w:bCs/>
        </w:rPr>
        <w:t>Penalties; fines. (page 3)</w:t>
      </w:r>
    </w:p>
    <w:p w14:paraId="59708333" w14:textId="132EE702" w:rsidR="00F15A8B" w:rsidRDefault="0079770B" w:rsidP="0079770B">
      <w:pPr>
        <w:pStyle w:val="DefaultText"/>
      </w:pPr>
      <w:r w:rsidRPr="0079770B">
        <w:t xml:space="preserve">This proposed rule change is necessary </w:t>
      </w:r>
      <w:proofErr w:type="gramStart"/>
      <w:r w:rsidRPr="0079770B">
        <w:t>in order to</w:t>
      </w:r>
      <w:proofErr w:type="gramEnd"/>
      <w:r w:rsidRPr="0079770B">
        <w:t xml:space="preserve"> align the enforcement requirements in Public Law 2021, Chapter 603 and in 90-590 C.M.R. Chapter 247, with the enforcement provisions described in 90-590 C.M.R. Chapter 100: Enforcement Procedures.  These proposed changes add a new provision under Section 3. </w:t>
      </w:r>
      <w:proofErr w:type="gramStart"/>
      <w:r w:rsidRPr="0079770B">
        <w:t>Penalties;</w:t>
      </w:r>
      <w:proofErr w:type="gramEnd"/>
      <w:r w:rsidRPr="0079770B">
        <w:t xml:space="preserve"> fines, for a payor that fails to file supplemental health care data sets and/or to meet the standards for data as defined in 90-590 Chapter 247.</w:t>
      </w:r>
    </w:p>
    <w:p w14:paraId="42FEB6E3" w14:textId="303D2784" w:rsidR="007430E7" w:rsidRDefault="007430E7" w:rsidP="0079770B">
      <w:pPr>
        <w:pStyle w:val="DefaultText"/>
      </w:pPr>
      <w:r w:rsidRPr="00AF44D6">
        <w:rPr>
          <w:b/>
          <w:bCs/>
        </w:rPr>
        <w:t>Rationale:</w:t>
      </w:r>
      <w:r w:rsidRPr="00AF44D6">
        <w:t xml:space="preserve">  Alignment of PL 2021, Chapter 603 with 90-590 C.M.R. Chapter 247 &amp; Chapter 100.</w:t>
      </w:r>
    </w:p>
    <w:p w14:paraId="654527EE" w14:textId="4A8E89E5" w:rsidR="00A96035" w:rsidRPr="00A96035" w:rsidRDefault="008352E0" w:rsidP="009413A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sz w:val="24"/>
        </w:rPr>
      </w:pPr>
      <w:r w:rsidRPr="00087EEE">
        <w:rPr>
          <w:b/>
          <w:bCs/>
          <w:sz w:val="24"/>
          <w:szCs w:val="24"/>
        </w:rPr>
        <w:t>Statutory Authority</w:t>
      </w:r>
      <w:r w:rsidRPr="0079770B">
        <w:rPr>
          <w:b/>
          <w:bCs/>
          <w:sz w:val="24"/>
          <w:szCs w:val="24"/>
        </w:rPr>
        <w:t xml:space="preserve">: </w:t>
      </w:r>
      <w:r w:rsidR="00F15A8B" w:rsidRPr="0079770B">
        <w:rPr>
          <w:sz w:val="24"/>
        </w:rPr>
        <w:t xml:space="preserve"> 2</w:t>
      </w:r>
      <w:r w:rsidR="00F15A8B" w:rsidRPr="009F496D">
        <w:rPr>
          <w:sz w:val="24"/>
        </w:rPr>
        <w:t xml:space="preserve">2 M.R.S. Section 8705-A and </w:t>
      </w:r>
      <w:r w:rsidR="00A96035" w:rsidRPr="00A96035">
        <w:rPr>
          <w:sz w:val="24"/>
        </w:rPr>
        <w:t>24-A M</w:t>
      </w:r>
      <w:r w:rsidR="00A96035">
        <w:rPr>
          <w:sz w:val="24"/>
        </w:rPr>
        <w:t>.</w:t>
      </w:r>
      <w:r w:rsidR="00A96035" w:rsidRPr="00A96035">
        <w:rPr>
          <w:sz w:val="24"/>
        </w:rPr>
        <w:t>R</w:t>
      </w:r>
      <w:r w:rsidR="00A96035">
        <w:rPr>
          <w:sz w:val="24"/>
        </w:rPr>
        <w:t>.</w:t>
      </w:r>
      <w:r w:rsidR="00A96035" w:rsidRPr="00A96035">
        <w:rPr>
          <w:sz w:val="24"/>
        </w:rPr>
        <w:t>S</w:t>
      </w:r>
      <w:r w:rsidR="00A96035">
        <w:rPr>
          <w:sz w:val="24"/>
        </w:rPr>
        <w:t>.</w:t>
      </w:r>
      <w:r w:rsidR="00A96035" w:rsidRPr="00A96035">
        <w:rPr>
          <w:sz w:val="24"/>
        </w:rPr>
        <w:t xml:space="preserve"> §6951</w:t>
      </w:r>
    </w:p>
    <w:p w14:paraId="6C123513" w14:textId="7676FE74" w:rsidR="00DA2BFE" w:rsidRPr="009413AE" w:rsidRDefault="008352E0" w:rsidP="009413A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b/>
          <w:bCs/>
          <w:sz w:val="24"/>
          <w:szCs w:val="24"/>
        </w:rPr>
      </w:pPr>
      <w:r w:rsidRPr="00087EEE">
        <w:rPr>
          <w:b/>
          <w:bCs/>
          <w:sz w:val="24"/>
          <w:szCs w:val="24"/>
        </w:rPr>
        <w:t xml:space="preserve">Effective Date:  </w:t>
      </w:r>
      <w:r w:rsidR="00712361">
        <w:rPr>
          <w:sz w:val="24"/>
          <w:szCs w:val="24"/>
        </w:rPr>
        <w:t>October 14, 2023</w:t>
      </w:r>
    </w:p>
    <w:sectPr w:rsidR="00DA2BFE" w:rsidRPr="009413AE" w:rsidSect="004D7DBB">
      <w:headerReference w:type="default" r:id="rId10"/>
      <w:footerReference w:type="default" r:id="rId11"/>
      <w:pgSz w:w="12240" w:h="15840" w:code="1"/>
      <w:pgMar w:top="1440" w:right="1152" w:bottom="1440" w:left="1152" w:header="720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BC2A" w14:textId="77777777" w:rsidR="001D5373" w:rsidRDefault="001D5373" w:rsidP="00364CCC">
      <w:r>
        <w:separator/>
      </w:r>
    </w:p>
    <w:p w14:paraId="07BB614A" w14:textId="77777777" w:rsidR="001D5373" w:rsidRDefault="001D5373" w:rsidP="00364CCC"/>
  </w:endnote>
  <w:endnote w:type="continuationSeparator" w:id="0">
    <w:p w14:paraId="451D8793" w14:textId="77777777" w:rsidR="001D5373" w:rsidRDefault="001D5373" w:rsidP="00364CCC">
      <w:r>
        <w:continuationSeparator/>
      </w:r>
    </w:p>
    <w:p w14:paraId="18E6DE4F" w14:textId="77777777" w:rsidR="001D5373" w:rsidRDefault="001D5373" w:rsidP="0036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065365475"/>
      <w:docPartObj>
        <w:docPartGallery w:val="Page Numbers (Bottom of Page)"/>
        <w:docPartUnique/>
      </w:docPartObj>
    </w:sdtPr>
    <w:sdtEndPr>
      <w:rPr>
        <w:rFonts w:cs="Times New Roman"/>
        <w:color w:val="7F7F7F" w:themeColor="background1" w:themeShade="7F"/>
        <w:spacing w:val="60"/>
        <w:sz w:val="28"/>
        <w:szCs w:val="28"/>
      </w:rPr>
    </w:sdtEndPr>
    <w:sdtContent>
      <w:p w14:paraId="59CCAD0B" w14:textId="4E6996DA" w:rsidR="00D17303" w:rsidRPr="00D17303" w:rsidRDefault="00D17303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color w:val="7F7F7F" w:themeColor="background1" w:themeShade="7F"/>
            <w:spacing w:val="60"/>
            <w:sz w:val="20"/>
            <w:szCs w:val="20"/>
          </w:rPr>
        </w:pPr>
        <w:r w:rsidRPr="00D17303">
          <w:rPr>
            <w:rFonts w:cstheme="minorHAnsi"/>
            <w:sz w:val="20"/>
            <w:szCs w:val="20"/>
          </w:rPr>
          <w:fldChar w:fldCharType="begin"/>
        </w:r>
        <w:r w:rsidRPr="00D17303">
          <w:rPr>
            <w:rFonts w:cstheme="minorHAnsi"/>
            <w:sz w:val="20"/>
            <w:szCs w:val="20"/>
          </w:rPr>
          <w:instrText xml:space="preserve"> PAGE   \* MERGEFORMAT </w:instrText>
        </w:r>
        <w:r w:rsidRPr="00D17303">
          <w:rPr>
            <w:rFonts w:cstheme="minorHAnsi"/>
            <w:sz w:val="20"/>
            <w:szCs w:val="20"/>
          </w:rPr>
          <w:fldChar w:fldCharType="separate"/>
        </w:r>
        <w:r w:rsidRPr="00D17303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D17303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  <w:r w:rsidRPr="00D17303">
          <w:rPr>
            <w:rFonts w:cstheme="minorHAnsi"/>
            <w:b/>
            <w:bCs/>
            <w:sz w:val="20"/>
            <w:szCs w:val="20"/>
          </w:rPr>
          <w:t xml:space="preserve"> | </w:t>
        </w:r>
        <w:r w:rsidRPr="00D17303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43CD14A4" w14:textId="38E3CFC7" w:rsidR="00D17303" w:rsidRPr="00D17303" w:rsidRDefault="00D17303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color w:val="7F7F7F" w:themeColor="background1" w:themeShade="7F"/>
            <w:spacing w:val="60"/>
            <w:sz w:val="20"/>
            <w:szCs w:val="20"/>
          </w:rPr>
        </w:pPr>
        <w:r w:rsidRPr="00D17303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Distributed to the MHDO Board of Directors on 9/7/2023</w:t>
        </w:r>
      </w:p>
      <w:p w14:paraId="5ABDF3FE" w14:textId="213E8801" w:rsidR="00D17303" w:rsidRDefault="001D53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0D56532F" w14:textId="77777777" w:rsidR="0092463D" w:rsidRDefault="0092463D" w:rsidP="00364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D650" w14:textId="77777777" w:rsidR="001D5373" w:rsidRDefault="001D5373" w:rsidP="00364CCC">
      <w:r>
        <w:separator/>
      </w:r>
    </w:p>
    <w:p w14:paraId="494284A4" w14:textId="77777777" w:rsidR="001D5373" w:rsidRDefault="001D5373" w:rsidP="00364CCC"/>
  </w:footnote>
  <w:footnote w:type="continuationSeparator" w:id="0">
    <w:p w14:paraId="24B33EF9" w14:textId="77777777" w:rsidR="001D5373" w:rsidRDefault="001D5373" w:rsidP="00364CCC">
      <w:r>
        <w:continuationSeparator/>
      </w:r>
    </w:p>
    <w:p w14:paraId="0B83A01D" w14:textId="77777777" w:rsidR="001D5373" w:rsidRDefault="001D5373" w:rsidP="0036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7349" w14:textId="77777777" w:rsidR="00D43AB2" w:rsidRPr="00491264" w:rsidRDefault="00114FB7" w:rsidP="00364CCC">
    <w:pPr>
      <w:pStyle w:val="Header"/>
      <w:rPr>
        <w:sz w:val="24"/>
        <w:szCs w:val="24"/>
      </w:rPr>
    </w:pPr>
    <w:r w:rsidRPr="00364CCC">
      <w:tab/>
    </w:r>
    <w:r w:rsidR="002066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CE1"/>
    <w:multiLevelType w:val="hybridMultilevel"/>
    <w:tmpl w:val="2ECA5DF4"/>
    <w:lvl w:ilvl="0" w:tplc="1322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B49"/>
    <w:multiLevelType w:val="hybridMultilevel"/>
    <w:tmpl w:val="F6501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CB548C"/>
    <w:multiLevelType w:val="hybridMultilevel"/>
    <w:tmpl w:val="8A5A439A"/>
    <w:lvl w:ilvl="0" w:tplc="C468863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64E1D"/>
    <w:multiLevelType w:val="hybridMultilevel"/>
    <w:tmpl w:val="01EE58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5351E6"/>
    <w:multiLevelType w:val="hybridMultilevel"/>
    <w:tmpl w:val="0638F9B4"/>
    <w:lvl w:ilvl="0" w:tplc="1BAE2DE2">
      <w:start w:val="1"/>
      <w:numFmt w:val="decimal"/>
      <w:pStyle w:val="NumberedParagraph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ED3"/>
    <w:multiLevelType w:val="hybridMultilevel"/>
    <w:tmpl w:val="04E29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061439"/>
    <w:multiLevelType w:val="hybridMultilevel"/>
    <w:tmpl w:val="854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332FA"/>
    <w:multiLevelType w:val="hybridMultilevel"/>
    <w:tmpl w:val="8D429FCA"/>
    <w:lvl w:ilvl="0" w:tplc="EDD24A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3DB"/>
    <w:multiLevelType w:val="hybridMultilevel"/>
    <w:tmpl w:val="C6E4D014"/>
    <w:lvl w:ilvl="0" w:tplc="414A0868">
      <w:start w:val="1"/>
      <w:numFmt w:val="lowerLetter"/>
      <w:pStyle w:val="Lett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A3FEA"/>
    <w:multiLevelType w:val="hybridMultilevel"/>
    <w:tmpl w:val="372ACB36"/>
    <w:lvl w:ilvl="0" w:tplc="6344C3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416"/>
    <w:multiLevelType w:val="hybridMultilevel"/>
    <w:tmpl w:val="7CCC3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C54F6C"/>
    <w:multiLevelType w:val="hybridMultilevel"/>
    <w:tmpl w:val="5E880162"/>
    <w:lvl w:ilvl="0" w:tplc="D0AE2C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1E3E8A"/>
    <w:multiLevelType w:val="hybridMultilevel"/>
    <w:tmpl w:val="E000E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DE8655A"/>
    <w:multiLevelType w:val="multilevel"/>
    <w:tmpl w:val="5FE41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E5C"/>
    <w:multiLevelType w:val="hybridMultilevel"/>
    <w:tmpl w:val="5E94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22C26"/>
    <w:multiLevelType w:val="hybridMultilevel"/>
    <w:tmpl w:val="EA02D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2B9F"/>
    <w:multiLevelType w:val="hybridMultilevel"/>
    <w:tmpl w:val="93EC5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C64A5F"/>
    <w:multiLevelType w:val="hybridMultilevel"/>
    <w:tmpl w:val="C1348E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9"/>
  </w:num>
  <w:num w:numId="17">
    <w:abstractNumId w:val="17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1"/>
  </w:num>
  <w:num w:numId="23">
    <w:abstractNumId w:val="9"/>
  </w:num>
  <w:num w:numId="24">
    <w:abstractNumId w:val="9"/>
  </w:num>
  <w:num w:numId="25">
    <w:abstractNumId w:val="10"/>
  </w:num>
  <w:num w:numId="26">
    <w:abstractNumId w:val="9"/>
  </w:num>
  <w:num w:numId="27">
    <w:abstractNumId w:val="9"/>
  </w:num>
  <w:num w:numId="28">
    <w:abstractNumId w:val="5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9"/>
    <w:rsid w:val="0001121C"/>
    <w:rsid w:val="00031690"/>
    <w:rsid w:val="000355F3"/>
    <w:rsid w:val="00037A51"/>
    <w:rsid w:val="00045891"/>
    <w:rsid w:val="00054D79"/>
    <w:rsid w:val="00057885"/>
    <w:rsid w:val="000654E6"/>
    <w:rsid w:val="000657FC"/>
    <w:rsid w:val="0006758A"/>
    <w:rsid w:val="000727EE"/>
    <w:rsid w:val="00096B64"/>
    <w:rsid w:val="000A158F"/>
    <w:rsid w:val="000A7508"/>
    <w:rsid w:val="000B4A30"/>
    <w:rsid w:val="000C6E2A"/>
    <w:rsid w:val="000E4F9D"/>
    <w:rsid w:val="000E705B"/>
    <w:rsid w:val="000E7C0D"/>
    <w:rsid w:val="000F07AF"/>
    <w:rsid w:val="00102E53"/>
    <w:rsid w:val="00114FB7"/>
    <w:rsid w:val="0011568A"/>
    <w:rsid w:val="00116907"/>
    <w:rsid w:val="001221AC"/>
    <w:rsid w:val="00123E3B"/>
    <w:rsid w:val="00127012"/>
    <w:rsid w:val="00135750"/>
    <w:rsid w:val="00143AE5"/>
    <w:rsid w:val="001504E4"/>
    <w:rsid w:val="001608CF"/>
    <w:rsid w:val="001744FF"/>
    <w:rsid w:val="001779E9"/>
    <w:rsid w:val="0018675B"/>
    <w:rsid w:val="00197427"/>
    <w:rsid w:val="001A4C8A"/>
    <w:rsid w:val="001B0215"/>
    <w:rsid w:val="001B0EAF"/>
    <w:rsid w:val="001C18A4"/>
    <w:rsid w:val="001D5036"/>
    <w:rsid w:val="001D5373"/>
    <w:rsid w:val="001E0F3C"/>
    <w:rsid w:val="001E1EF1"/>
    <w:rsid w:val="001E24E7"/>
    <w:rsid w:val="001E2525"/>
    <w:rsid w:val="001E2B5E"/>
    <w:rsid w:val="001E6895"/>
    <w:rsid w:val="001F4526"/>
    <w:rsid w:val="001F6E46"/>
    <w:rsid w:val="00200EE6"/>
    <w:rsid w:val="00202F4B"/>
    <w:rsid w:val="00206623"/>
    <w:rsid w:val="00210051"/>
    <w:rsid w:val="00215CE7"/>
    <w:rsid w:val="002229D4"/>
    <w:rsid w:val="00224DDB"/>
    <w:rsid w:val="0022622D"/>
    <w:rsid w:val="002324D9"/>
    <w:rsid w:val="002332C1"/>
    <w:rsid w:val="00244707"/>
    <w:rsid w:val="00246C03"/>
    <w:rsid w:val="00247964"/>
    <w:rsid w:val="0025024E"/>
    <w:rsid w:val="00260620"/>
    <w:rsid w:val="002619EF"/>
    <w:rsid w:val="00262757"/>
    <w:rsid w:val="0027472D"/>
    <w:rsid w:val="0028388E"/>
    <w:rsid w:val="00284CE9"/>
    <w:rsid w:val="00294A0E"/>
    <w:rsid w:val="002A38FC"/>
    <w:rsid w:val="002B0C91"/>
    <w:rsid w:val="002C4930"/>
    <w:rsid w:val="002C53E9"/>
    <w:rsid w:val="002C6FFA"/>
    <w:rsid w:val="002D2222"/>
    <w:rsid w:val="002F37EC"/>
    <w:rsid w:val="002F3AA4"/>
    <w:rsid w:val="003059C2"/>
    <w:rsid w:val="00311EEE"/>
    <w:rsid w:val="0031647E"/>
    <w:rsid w:val="00330474"/>
    <w:rsid w:val="00334F10"/>
    <w:rsid w:val="00341B11"/>
    <w:rsid w:val="00342BB5"/>
    <w:rsid w:val="00350A4B"/>
    <w:rsid w:val="00353C87"/>
    <w:rsid w:val="00354362"/>
    <w:rsid w:val="0035535F"/>
    <w:rsid w:val="003628CD"/>
    <w:rsid w:val="00364CCC"/>
    <w:rsid w:val="00370545"/>
    <w:rsid w:val="00373B27"/>
    <w:rsid w:val="0037477F"/>
    <w:rsid w:val="003759BC"/>
    <w:rsid w:val="00383BD0"/>
    <w:rsid w:val="003844B7"/>
    <w:rsid w:val="003864C8"/>
    <w:rsid w:val="00387B19"/>
    <w:rsid w:val="003B174A"/>
    <w:rsid w:val="003B47D8"/>
    <w:rsid w:val="003B77DA"/>
    <w:rsid w:val="003C4600"/>
    <w:rsid w:val="003D0973"/>
    <w:rsid w:val="003D2B6E"/>
    <w:rsid w:val="003D5832"/>
    <w:rsid w:val="003D5EA2"/>
    <w:rsid w:val="003E3952"/>
    <w:rsid w:val="003E68A6"/>
    <w:rsid w:val="003E6E25"/>
    <w:rsid w:val="003F45D2"/>
    <w:rsid w:val="004039C5"/>
    <w:rsid w:val="00407F71"/>
    <w:rsid w:val="00410168"/>
    <w:rsid w:val="0041021C"/>
    <w:rsid w:val="00433AE9"/>
    <w:rsid w:val="00440052"/>
    <w:rsid w:val="00440B9F"/>
    <w:rsid w:val="00473801"/>
    <w:rsid w:val="00473EA0"/>
    <w:rsid w:val="00476DE9"/>
    <w:rsid w:val="00485667"/>
    <w:rsid w:val="00491264"/>
    <w:rsid w:val="004921C0"/>
    <w:rsid w:val="004A05D6"/>
    <w:rsid w:val="004C6B86"/>
    <w:rsid w:val="004D18C4"/>
    <w:rsid w:val="004D2707"/>
    <w:rsid w:val="004D47FF"/>
    <w:rsid w:val="004D564D"/>
    <w:rsid w:val="004D6887"/>
    <w:rsid w:val="004D7DBB"/>
    <w:rsid w:val="004E0F5F"/>
    <w:rsid w:val="004E6FA0"/>
    <w:rsid w:val="004E7B37"/>
    <w:rsid w:val="00500C17"/>
    <w:rsid w:val="005170ED"/>
    <w:rsid w:val="00523AC7"/>
    <w:rsid w:val="00534B19"/>
    <w:rsid w:val="0054695F"/>
    <w:rsid w:val="00547F93"/>
    <w:rsid w:val="00554A1F"/>
    <w:rsid w:val="00566272"/>
    <w:rsid w:val="00571030"/>
    <w:rsid w:val="005869F1"/>
    <w:rsid w:val="00587073"/>
    <w:rsid w:val="0059018A"/>
    <w:rsid w:val="005C3B00"/>
    <w:rsid w:val="005C4908"/>
    <w:rsid w:val="005C58DA"/>
    <w:rsid w:val="005D55A4"/>
    <w:rsid w:val="005D5F72"/>
    <w:rsid w:val="00622863"/>
    <w:rsid w:val="0063708A"/>
    <w:rsid w:val="00640059"/>
    <w:rsid w:val="0064190F"/>
    <w:rsid w:val="00645394"/>
    <w:rsid w:val="00656A0B"/>
    <w:rsid w:val="00661D21"/>
    <w:rsid w:val="006710E8"/>
    <w:rsid w:val="006761F1"/>
    <w:rsid w:val="0069758D"/>
    <w:rsid w:val="006A14BD"/>
    <w:rsid w:val="006B05C4"/>
    <w:rsid w:val="006B067B"/>
    <w:rsid w:val="006B213E"/>
    <w:rsid w:val="006C3098"/>
    <w:rsid w:val="006C7517"/>
    <w:rsid w:val="006D0831"/>
    <w:rsid w:val="006D0F79"/>
    <w:rsid w:val="006E2533"/>
    <w:rsid w:val="006E5D4D"/>
    <w:rsid w:val="006E7FAD"/>
    <w:rsid w:val="0070090F"/>
    <w:rsid w:val="00700A34"/>
    <w:rsid w:val="00712361"/>
    <w:rsid w:val="007302E6"/>
    <w:rsid w:val="007309C8"/>
    <w:rsid w:val="00733E42"/>
    <w:rsid w:val="007344F1"/>
    <w:rsid w:val="00735C81"/>
    <w:rsid w:val="00740178"/>
    <w:rsid w:val="007430E7"/>
    <w:rsid w:val="00746CF5"/>
    <w:rsid w:val="00751CFD"/>
    <w:rsid w:val="0077633F"/>
    <w:rsid w:val="00782C39"/>
    <w:rsid w:val="0079770B"/>
    <w:rsid w:val="007A0217"/>
    <w:rsid w:val="007A2AAF"/>
    <w:rsid w:val="007B2ED6"/>
    <w:rsid w:val="007B3983"/>
    <w:rsid w:val="007B6278"/>
    <w:rsid w:val="007C5BE7"/>
    <w:rsid w:val="007C5F0A"/>
    <w:rsid w:val="007F4AFD"/>
    <w:rsid w:val="007F640F"/>
    <w:rsid w:val="00802F66"/>
    <w:rsid w:val="0080378D"/>
    <w:rsid w:val="00811CC1"/>
    <w:rsid w:val="00813AA0"/>
    <w:rsid w:val="00814AFA"/>
    <w:rsid w:val="00833E30"/>
    <w:rsid w:val="008352E0"/>
    <w:rsid w:val="0084240D"/>
    <w:rsid w:val="00850319"/>
    <w:rsid w:val="00864413"/>
    <w:rsid w:val="00865326"/>
    <w:rsid w:val="00865DA9"/>
    <w:rsid w:val="008668C5"/>
    <w:rsid w:val="00874C47"/>
    <w:rsid w:val="00876746"/>
    <w:rsid w:val="00876AC3"/>
    <w:rsid w:val="00880F55"/>
    <w:rsid w:val="00884FBD"/>
    <w:rsid w:val="00895CDA"/>
    <w:rsid w:val="0089720E"/>
    <w:rsid w:val="008A20DB"/>
    <w:rsid w:val="008B2D6D"/>
    <w:rsid w:val="008D4B3C"/>
    <w:rsid w:val="008F790D"/>
    <w:rsid w:val="00900586"/>
    <w:rsid w:val="00917D7F"/>
    <w:rsid w:val="00921561"/>
    <w:rsid w:val="0092463D"/>
    <w:rsid w:val="0093151D"/>
    <w:rsid w:val="00932DBD"/>
    <w:rsid w:val="0093637B"/>
    <w:rsid w:val="009413AE"/>
    <w:rsid w:val="00974EEF"/>
    <w:rsid w:val="00982EA9"/>
    <w:rsid w:val="009959E2"/>
    <w:rsid w:val="009A1D74"/>
    <w:rsid w:val="009A1EEC"/>
    <w:rsid w:val="009B6CB5"/>
    <w:rsid w:val="009B7754"/>
    <w:rsid w:val="009C46CA"/>
    <w:rsid w:val="009D29D1"/>
    <w:rsid w:val="009D3837"/>
    <w:rsid w:val="009E48A4"/>
    <w:rsid w:val="009F3329"/>
    <w:rsid w:val="009F496D"/>
    <w:rsid w:val="00A01571"/>
    <w:rsid w:val="00A040A7"/>
    <w:rsid w:val="00A16C2D"/>
    <w:rsid w:val="00A22FAA"/>
    <w:rsid w:val="00A26B11"/>
    <w:rsid w:val="00A303A9"/>
    <w:rsid w:val="00A4628F"/>
    <w:rsid w:val="00A67CC8"/>
    <w:rsid w:val="00A754ED"/>
    <w:rsid w:val="00A96035"/>
    <w:rsid w:val="00AB071E"/>
    <w:rsid w:val="00AB0E27"/>
    <w:rsid w:val="00AD42B6"/>
    <w:rsid w:val="00AE5B98"/>
    <w:rsid w:val="00AF14D9"/>
    <w:rsid w:val="00AF44D6"/>
    <w:rsid w:val="00B00F2B"/>
    <w:rsid w:val="00B10A93"/>
    <w:rsid w:val="00B152BF"/>
    <w:rsid w:val="00B20211"/>
    <w:rsid w:val="00B22265"/>
    <w:rsid w:val="00B317A0"/>
    <w:rsid w:val="00B321C4"/>
    <w:rsid w:val="00B4147C"/>
    <w:rsid w:val="00B41797"/>
    <w:rsid w:val="00B4549E"/>
    <w:rsid w:val="00B540A6"/>
    <w:rsid w:val="00B61D82"/>
    <w:rsid w:val="00B702A3"/>
    <w:rsid w:val="00B74E74"/>
    <w:rsid w:val="00B7541D"/>
    <w:rsid w:val="00B769F1"/>
    <w:rsid w:val="00B76E08"/>
    <w:rsid w:val="00B860B7"/>
    <w:rsid w:val="00B92B57"/>
    <w:rsid w:val="00BA1816"/>
    <w:rsid w:val="00BA5514"/>
    <w:rsid w:val="00BB01D6"/>
    <w:rsid w:val="00BC7AE8"/>
    <w:rsid w:val="00BD24CD"/>
    <w:rsid w:val="00BD28BB"/>
    <w:rsid w:val="00BE08A6"/>
    <w:rsid w:val="00BE112C"/>
    <w:rsid w:val="00BE3477"/>
    <w:rsid w:val="00BE4392"/>
    <w:rsid w:val="00BE62A0"/>
    <w:rsid w:val="00BE7F8B"/>
    <w:rsid w:val="00BF0F7E"/>
    <w:rsid w:val="00BF77AD"/>
    <w:rsid w:val="00C02765"/>
    <w:rsid w:val="00C07519"/>
    <w:rsid w:val="00C075C5"/>
    <w:rsid w:val="00C371EC"/>
    <w:rsid w:val="00C571BF"/>
    <w:rsid w:val="00CA5B91"/>
    <w:rsid w:val="00CD112D"/>
    <w:rsid w:val="00CE3A4E"/>
    <w:rsid w:val="00CE405D"/>
    <w:rsid w:val="00D019AC"/>
    <w:rsid w:val="00D154D5"/>
    <w:rsid w:val="00D167DF"/>
    <w:rsid w:val="00D17303"/>
    <w:rsid w:val="00D24879"/>
    <w:rsid w:val="00D31ED7"/>
    <w:rsid w:val="00D43AB2"/>
    <w:rsid w:val="00D550F5"/>
    <w:rsid w:val="00D71543"/>
    <w:rsid w:val="00D76BFB"/>
    <w:rsid w:val="00D8742D"/>
    <w:rsid w:val="00D91D3C"/>
    <w:rsid w:val="00D95E94"/>
    <w:rsid w:val="00D96FBB"/>
    <w:rsid w:val="00DA2BFE"/>
    <w:rsid w:val="00DA697C"/>
    <w:rsid w:val="00DC2DF8"/>
    <w:rsid w:val="00DD40B7"/>
    <w:rsid w:val="00DD41FE"/>
    <w:rsid w:val="00DD77D5"/>
    <w:rsid w:val="00DE63D3"/>
    <w:rsid w:val="00DF524D"/>
    <w:rsid w:val="00E023E3"/>
    <w:rsid w:val="00E10606"/>
    <w:rsid w:val="00E13A66"/>
    <w:rsid w:val="00E21446"/>
    <w:rsid w:val="00E23C93"/>
    <w:rsid w:val="00E32106"/>
    <w:rsid w:val="00E4080C"/>
    <w:rsid w:val="00E70372"/>
    <w:rsid w:val="00E74A72"/>
    <w:rsid w:val="00E84996"/>
    <w:rsid w:val="00E919C9"/>
    <w:rsid w:val="00E974E0"/>
    <w:rsid w:val="00EA40AE"/>
    <w:rsid w:val="00EC00EF"/>
    <w:rsid w:val="00EC151C"/>
    <w:rsid w:val="00EC6461"/>
    <w:rsid w:val="00ED02A6"/>
    <w:rsid w:val="00EF11FA"/>
    <w:rsid w:val="00EF464E"/>
    <w:rsid w:val="00EF504D"/>
    <w:rsid w:val="00EF5E13"/>
    <w:rsid w:val="00F0139B"/>
    <w:rsid w:val="00F05CBE"/>
    <w:rsid w:val="00F0795A"/>
    <w:rsid w:val="00F10556"/>
    <w:rsid w:val="00F15941"/>
    <w:rsid w:val="00F15A8B"/>
    <w:rsid w:val="00F22FC5"/>
    <w:rsid w:val="00F268D3"/>
    <w:rsid w:val="00F3103A"/>
    <w:rsid w:val="00F34768"/>
    <w:rsid w:val="00F36B87"/>
    <w:rsid w:val="00F40C2B"/>
    <w:rsid w:val="00F43658"/>
    <w:rsid w:val="00F45FFF"/>
    <w:rsid w:val="00F47C46"/>
    <w:rsid w:val="00F53F32"/>
    <w:rsid w:val="00F56AE6"/>
    <w:rsid w:val="00F57752"/>
    <w:rsid w:val="00F7355C"/>
    <w:rsid w:val="00F8235D"/>
    <w:rsid w:val="00F8526E"/>
    <w:rsid w:val="00F86162"/>
    <w:rsid w:val="00F86F76"/>
    <w:rsid w:val="00FA5781"/>
    <w:rsid w:val="00FB2C57"/>
    <w:rsid w:val="00FB4EF6"/>
    <w:rsid w:val="00FB5768"/>
    <w:rsid w:val="00FB6F72"/>
    <w:rsid w:val="00FC07CA"/>
    <w:rsid w:val="00FD110D"/>
    <w:rsid w:val="00FD41CF"/>
    <w:rsid w:val="00FD685D"/>
    <w:rsid w:val="00FE3DDF"/>
    <w:rsid w:val="00FE5477"/>
    <w:rsid w:val="00FF313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199B8"/>
  <w15:chartTrackingRefBased/>
  <w15:docId w15:val="{7A039F58-7D8D-4595-8C07-2DEC52D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CCC"/>
    <w:pPr>
      <w:spacing w:before="240"/>
    </w:pPr>
    <w:rPr>
      <w:rFonts w:asciiTheme="minorHAnsi" w:hAnsi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D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Lettered">
    <w:name w:val="Lettered"/>
    <w:basedOn w:val="Normal"/>
    <w:qFormat/>
    <w:rsid w:val="00865DA9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rsid w:val="00AD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E9"/>
    <w:pPr>
      <w:numPr>
        <w:numId w:val="4"/>
      </w:numPr>
      <w:tabs>
        <w:tab w:val="left" w:pos="900"/>
      </w:tabs>
      <w:contextualSpacing/>
    </w:pPr>
  </w:style>
  <w:style w:type="table" w:styleId="TableGrid">
    <w:name w:val="Table Grid"/>
    <w:basedOn w:val="TableNormal"/>
    <w:uiPriority w:val="39"/>
    <w:rsid w:val="00554A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AE8"/>
  </w:style>
  <w:style w:type="paragraph" w:styleId="Footer">
    <w:name w:val="footer"/>
    <w:basedOn w:val="Normal"/>
    <w:link w:val="FooterChar"/>
    <w:uiPriority w:val="99"/>
    <w:rsid w:val="00BC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8"/>
  </w:style>
  <w:style w:type="paragraph" w:styleId="Title">
    <w:name w:val="Title"/>
    <w:next w:val="Normal"/>
    <w:link w:val="TitleChar"/>
    <w:qFormat/>
    <w:rsid w:val="00364CCC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4CCC"/>
    <w:rPr>
      <w:rFonts w:ascii="Calibri" w:hAnsi="Calibri" w:cs="Arial"/>
      <w:b/>
      <w:sz w:val="28"/>
      <w:szCs w:val="28"/>
    </w:rPr>
  </w:style>
  <w:style w:type="paragraph" w:customStyle="1" w:styleId="NumberedParagraph">
    <w:name w:val="Numbered Paragraph"/>
    <w:basedOn w:val="Normal"/>
    <w:next w:val="Indented"/>
    <w:qFormat/>
    <w:rsid w:val="000E4F9D"/>
    <w:pPr>
      <w:numPr>
        <w:numId w:val="2"/>
      </w:numPr>
      <w:ind w:left="450" w:hanging="450"/>
    </w:pPr>
  </w:style>
  <w:style w:type="paragraph" w:customStyle="1" w:styleId="Indented">
    <w:name w:val="Indented"/>
    <w:basedOn w:val="Normal"/>
    <w:next w:val="NumberedParagraph"/>
    <w:qFormat/>
    <w:rsid w:val="000E4F9D"/>
    <w:pPr>
      <w:ind w:left="450"/>
    </w:pPr>
  </w:style>
  <w:style w:type="character" w:styleId="CommentReference">
    <w:name w:val="annotation reference"/>
    <w:basedOn w:val="DefaultParagraphFont"/>
    <w:rsid w:val="00143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895"/>
    <w:rPr>
      <w:rFonts w:ascii="Arial" w:hAnsi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1E689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4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AE5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876746"/>
    <w:rPr>
      <w:rFonts w:asciiTheme="minorHAnsi" w:hAnsiTheme="minorHAnsi"/>
      <w:sz w:val="28"/>
      <w:szCs w:val="28"/>
    </w:rPr>
  </w:style>
  <w:style w:type="character" w:styleId="Hyperlink">
    <w:name w:val="Hyperlink"/>
    <w:basedOn w:val="DefaultParagraphFont"/>
    <w:rsid w:val="00876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46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A4628F"/>
  </w:style>
  <w:style w:type="paragraph" w:styleId="BodyTextIndent">
    <w:name w:val="Body Text Indent"/>
    <w:basedOn w:val="Normal"/>
    <w:link w:val="BodyTextIndentChar"/>
    <w:rsid w:val="00D550F5"/>
    <w:pPr>
      <w:tabs>
        <w:tab w:val="left" w:pos="720"/>
        <w:tab w:val="left" w:pos="1440"/>
        <w:tab w:val="left" w:pos="2160"/>
        <w:tab w:val="left" w:pos="2880"/>
      </w:tabs>
      <w:spacing w:before="0"/>
      <w:ind w:left="720" w:hanging="720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50F5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486B.B5CBD4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9154-A4A0-4DE0-8D18-07240254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50</vt:lpstr>
    </vt:vector>
  </TitlesOfParts>
  <Company>Maine Health Data Organization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50</dc:title>
  <dc:subject/>
  <dc:creator>tuckd</dc:creator>
  <cp:keywords/>
  <cp:lastModifiedBy>Bonsant, Kimberly</cp:lastModifiedBy>
  <cp:revision>2</cp:revision>
  <cp:lastPrinted>2023-03-30T15:30:00Z</cp:lastPrinted>
  <dcterms:created xsi:type="dcterms:W3CDTF">2023-09-20T20:03:00Z</dcterms:created>
  <dcterms:modified xsi:type="dcterms:W3CDTF">2023-09-20T20:03:00Z</dcterms:modified>
</cp:coreProperties>
</file>